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BCA62" w14:textId="7AE73F9D" w:rsidR="002A321B" w:rsidRPr="0051451C" w:rsidRDefault="0051451C" w:rsidP="0051451C">
      <w:pPr>
        <w:shd w:val="clear" w:color="auto" w:fill="C00000"/>
        <w:jc w:val="center"/>
        <w:rPr>
          <w:rFonts w:ascii="Arial" w:hAnsi="Arial" w:cs="Arial"/>
          <w:b/>
          <w:bCs/>
          <w:sz w:val="32"/>
          <w:szCs w:val="32"/>
        </w:rPr>
      </w:pPr>
      <w:r w:rsidRPr="0051451C">
        <w:rPr>
          <w:rFonts w:ascii="Arial" w:hAnsi="Arial" w:cs="Arial"/>
          <w:b/>
          <w:bCs/>
          <w:sz w:val="32"/>
          <w:szCs w:val="32"/>
        </w:rPr>
        <w:t>L</w:t>
      </w:r>
      <w:r w:rsidR="00D81171">
        <w:rPr>
          <w:rFonts w:ascii="Arial" w:hAnsi="Arial" w:cs="Arial"/>
          <w:b/>
          <w:bCs/>
          <w:sz w:val="32"/>
          <w:szCs w:val="32"/>
        </w:rPr>
        <w:t>’ORDRE</w:t>
      </w:r>
      <w:r w:rsidRPr="0051451C">
        <w:rPr>
          <w:rFonts w:ascii="Arial" w:hAnsi="Arial" w:cs="Arial"/>
          <w:b/>
          <w:bCs/>
          <w:sz w:val="32"/>
          <w:szCs w:val="32"/>
        </w:rPr>
        <w:t xml:space="preserve"> DE PRÉFÉRENCE DES LOT</w:t>
      </w:r>
      <w:r w:rsidR="00B16A71">
        <w:rPr>
          <w:rFonts w:ascii="Arial" w:hAnsi="Arial" w:cs="Arial"/>
          <w:b/>
          <w:bCs/>
          <w:sz w:val="32"/>
          <w:szCs w:val="32"/>
        </w:rPr>
        <w:t>S</w:t>
      </w:r>
    </w:p>
    <w:p w14:paraId="378DF103" w14:textId="77777777" w:rsidR="0051451C" w:rsidRDefault="0051451C" w:rsidP="005470F3">
      <w:pPr>
        <w:rPr>
          <w:rFonts w:ascii="Arial" w:hAnsi="Arial" w:cs="Arial"/>
        </w:rPr>
      </w:pPr>
    </w:p>
    <w:p w14:paraId="71757C4F" w14:textId="77777777" w:rsidR="002C04E9" w:rsidRPr="002C04E9" w:rsidRDefault="002C04E9" w:rsidP="002C04E9">
      <w:pPr>
        <w:rPr>
          <w:rFonts w:ascii="Arial" w:eastAsia="Arial" w:hAnsi="Arial" w:cs="Arial"/>
          <w:b/>
          <w:color w:val="000000"/>
          <w:sz w:val="28"/>
        </w:rPr>
      </w:pPr>
    </w:p>
    <w:p w14:paraId="591012A8" w14:textId="624B6BCD" w:rsidR="0051451C" w:rsidRDefault="002C04E9" w:rsidP="002C04E9">
      <w:pPr>
        <w:jc w:val="center"/>
        <w:rPr>
          <w:rFonts w:ascii="Arial" w:eastAsia="Arial" w:hAnsi="Arial" w:cs="Arial"/>
          <w:b/>
          <w:bCs/>
          <w:color w:val="000000"/>
          <w:sz w:val="28"/>
        </w:rPr>
      </w:pPr>
      <w:r w:rsidRPr="002C04E9">
        <w:rPr>
          <w:rFonts w:ascii="Arial" w:eastAsia="Arial" w:hAnsi="Arial" w:cs="Arial"/>
          <w:b/>
          <w:bCs/>
          <w:color w:val="000000"/>
          <w:sz w:val="28"/>
        </w:rPr>
        <w:t>ACCORD CADRE : 2685IIP04 - CONDUITE ET TAILLE DE FORMATION DE JEUNES ARBRES DANS LE CADRE DE LA RESTAURATION DE LA VOUTE ARBORÉE DU CANAL DU MIDI ET ANNEXES</w:t>
      </w:r>
    </w:p>
    <w:p w14:paraId="67B28F65" w14:textId="77777777" w:rsidR="002C04E9" w:rsidRDefault="002C04E9" w:rsidP="002C04E9">
      <w:pPr>
        <w:rPr>
          <w:rFonts w:ascii="Arial" w:eastAsia="Arial" w:hAnsi="Arial" w:cs="Arial"/>
          <w:b/>
          <w:color w:val="000000"/>
          <w:sz w:val="28"/>
        </w:rPr>
      </w:pPr>
    </w:p>
    <w:p w14:paraId="56DE8044" w14:textId="77777777" w:rsidR="0051451C" w:rsidRDefault="0051451C" w:rsidP="005470F3">
      <w:pPr>
        <w:rPr>
          <w:rFonts w:ascii="Arial" w:eastAsia="Arial" w:hAnsi="Arial" w:cs="Arial"/>
          <w:b/>
          <w:color w:val="000000"/>
          <w:sz w:val="28"/>
        </w:rPr>
      </w:pPr>
    </w:p>
    <w:tbl>
      <w:tblPr>
        <w:tblStyle w:val="Grilledutableau"/>
        <w:tblW w:w="9924" w:type="dxa"/>
        <w:tblInd w:w="-431" w:type="dxa"/>
        <w:tblLook w:val="04A0" w:firstRow="1" w:lastRow="0" w:firstColumn="1" w:lastColumn="0" w:noHBand="0" w:noVBand="1"/>
      </w:tblPr>
      <w:tblGrid>
        <w:gridCol w:w="7797"/>
        <w:gridCol w:w="2127"/>
      </w:tblGrid>
      <w:tr w:rsidR="00551558" w14:paraId="5C73AD1A" w14:textId="093DDA15" w:rsidTr="00551558">
        <w:tc>
          <w:tcPr>
            <w:tcW w:w="7797" w:type="dxa"/>
            <w:shd w:val="clear" w:color="auto" w:fill="808080" w:themeFill="background1" w:themeFillShade="80"/>
          </w:tcPr>
          <w:p w14:paraId="24FCC9A0" w14:textId="3681D3C7" w:rsidR="00551558" w:rsidRPr="00556C42" w:rsidRDefault="00551558" w:rsidP="00556C42">
            <w:pPr>
              <w:jc w:val="center"/>
              <w:rPr>
                <w:rFonts w:ascii="Arial" w:hAnsi="Arial" w:cs="Arial"/>
                <w:b/>
                <w:bCs/>
              </w:rPr>
            </w:pPr>
            <w:r w:rsidRPr="00556C42">
              <w:rPr>
                <w:rFonts w:ascii="Arial" w:hAnsi="Arial" w:cs="Arial"/>
                <w:b/>
                <w:bCs/>
              </w:rPr>
              <w:t>LOTS</w:t>
            </w:r>
          </w:p>
        </w:tc>
        <w:tc>
          <w:tcPr>
            <w:tcW w:w="2127" w:type="dxa"/>
            <w:shd w:val="clear" w:color="auto" w:fill="808080" w:themeFill="background1" w:themeFillShade="80"/>
          </w:tcPr>
          <w:p w14:paraId="24E405F0" w14:textId="2C8D1727" w:rsidR="00551558" w:rsidRPr="00556C42" w:rsidRDefault="00551558" w:rsidP="00556C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Ordre de </w:t>
            </w:r>
            <w:r w:rsidR="00B16A71">
              <w:rPr>
                <w:rFonts w:ascii="Arial" w:hAnsi="Arial" w:cs="Arial"/>
                <w:b/>
                <w:bCs/>
              </w:rPr>
              <w:t>préférence</w:t>
            </w:r>
          </w:p>
        </w:tc>
      </w:tr>
      <w:tr w:rsidR="00551558" w14:paraId="7C49C33E" w14:textId="5AC48567" w:rsidTr="00551558">
        <w:trPr>
          <w:trHeight w:val="476"/>
        </w:trPr>
        <w:tc>
          <w:tcPr>
            <w:tcW w:w="7797" w:type="dxa"/>
          </w:tcPr>
          <w:p w14:paraId="34B7CC4B" w14:textId="5C0F90E4" w:rsidR="00585859" w:rsidRPr="00585859" w:rsidRDefault="00551558" w:rsidP="00585859">
            <w:pPr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Lot 01 : </w:t>
            </w:r>
            <w:r w:rsidR="00585859">
              <w:rPr>
                <w:b/>
                <w:bCs/>
                <w:sz w:val="20"/>
                <w:szCs w:val="20"/>
              </w:rPr>
              <w:t xml:space="preserve">Centres territoriaux « Toulouse-Haute-Garonne » + « Lauragais-Montagne Noire » + « Carcassonne-Minervois » pour moitié : </w:t>
            </w:r>
          </w:p>
          <w:p w14:paraId="0D8A5286" w14:textId="4677938C" w:rsidR="00551558" w:rsidRDefault="00585859" w:rsidP="00585859">
            <w:pPr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 xml:space="preserve">De la commune de Auzeville incluse jusqu’au pont de Marseillette, y compris rigoles d’alimentations de la Montage Noire </w:t>
            </w:r>
          </w:p>
        </w:tc>
        <w:tc>
          <w:tcPr>
            <w:tcW w:w="2127" w:type="dxa"/>
          </w:tcPr>
          <w:p w14:paraId="403EA99E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551558" w14:paraId="464A4EE8" w14:textId="3EFDED23" w:rsidTr="00551558">
        <w:trPr>
          <w:trHeight w:val="554"/>
        </w:trPr>
        <w:tc>
          <w:tcPr>
            <w:tcW w:w="7797" w:type="dxa"/>
          </w:tcPr>
          <w:p w14:paraId="29889990" w14:textId="77777777" w:rsidR="00551558" w:rsidRDefault="00551558" w:rsidP="0058585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Lot 02 : </w:t>
            </w:r>
            <w:r w:rsidR="00585859">
              <w:rPr>
                <w:b/>
                <w:bCs/>
                <w:sz w:val="20"/>
                <w:szCs w:val="20"/>
              </w:rPr>
              <w:t xml:space="preserve">Centres territoriaux « Carcassonne-Minervois » pour moitié + « Aude-Narbonnais » : </w:t>
            </w:r>
            <w:r w:rsidR="00585859">
              <w:rPr>
                <w:sz w:val="20"/>
                <w:szCs w:val="20"/>
              </w:rPr>
              <w:t xml:space="preserve">Du pont de Marseillette jusqu’à la limite départementale 11/34 (Argeliers/Cruzy), y compris canal de Jonction et canal de la Robine </w:t>
            </w:r>
          </w:p>
          <w:p w14:paraId="40C4863B" w14:textId="4448A40A" w:rsidR="00585859" w:rsidRPr="00585859" w:rsidRDefault="00585859" w:rsidP="00585859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2127" w:type="dxa"/>
          </w:tcPr>
          <w:p w14:paraId="2E7F3048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551558" w14:paraId="4C20AB07" w14:textId="606C0874" w:rsidTr="00551558">
        <w:trPr>
          <w:trHeight w:val="562"/>
        </w:trPr>
        <w:tc>
          <w:tcPr>
            <w:tcW w:w="7797" w:type="dxa"/>
          </w:tcPr>
          <w:p w14:paraId="155A3387" w14:textId="2FCE63DF" w:rsidR="00551558" w:rsidRPr="00A22746" w:rsidRDefault="00551558" w:rsidP="00A22746">
            <w:pPr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Lot 03 : </w:t>
            </w:r>
            <w:r w:rsidR="00A22746">
              <w:rPr>
                <w:b/>
                <w:bCs/>
                <w:sz w:val="20"/>
                <w:szCs w:val="20"/>
              </w:rPr>
              <w:t xml:space="preserve">Centre territorial Béziers-Herault : </w:t>
            </w:r>
            <w:r w:rsidR="00A22746">
              <w:rPr>
                <w:sz w:val="20"/>
                <w:szCs w:val="20"/>
              </w:rPr>
              <w:t xml:space="preserve">De la limite départementale 11/34 (Argeliers/Cruzy) jusqu’à l’écluse de Bagnas à Agde </w:t>
            </w:r>
          </w:p>
        </w:tc>
        <w:tc>
          <w:tcPr>
            <w:tcW w:w="2127" w:type="dxa"/>
          </w:tcPr>
          <w:p w14:paraId="2B8D433A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</w:tbl>
    <w:p w14:paraId="5B115B6B" w14:textId="77777777" w:rsidR="0051451C" w:rsidRDefault="0051451C" w:rsidP="005470F3">
      <w:pPr>
        <w:rPr>
          <w:rFonts w:ascii="Arial" w:hAnsi="Arial" w:cs="Arial"/>
        </w:rPr>
      </w:pPr>
    </w:p>
    <w:p w14:paraId="05282DCE" w14:textId="77777777" w:rsidR="002C04E9" w:rsidRDefault="002C04E9" w:rsidP="005470F3">
      <w:pPr>
        <w:rPr>
          <w:rFonts w:ascii="Arial" w:hAnsi="Arial" w:cs="Arial"/>
        </w:rPr>
      </w:pPr>
    </w:p>
    <w:p w14:paraId="554AE8FE" w14:textId="60B33B20" w:rsidR="00556C42" w:rsidRPr="00FB26FB" w:rsidRDefault="00556C42" w:rsidP="005470F3">
      <w:pPr>
        <w:rPr>
          <w:rFonts w:ascii="Arial" w:hAnsi="Arial" w:cs="Arial"/>
          <w:b/>
          <w:bCs/>
        </w:rPr>
      </w:pPr>
      <w:r w:rsidRPr="00FB26FB">
        <w:rPr>
          <w:rFonts w:ascii="Arial" w:hAnsi="Arial" w:cs="Arial"/>
          <w:b/>
          <w:bCs/>
          <w:color w:val="C00000"/>
          <w:sz w:val="24"/>
          <w:szCs w:val="24"/>
        </w:rPr>
        <w:t>RAPPEL :</w:t>
      </w:r>
      <w:r w:rsidRPr="00FB26FB">
        <w:rPr>
          <w:rFonts w:ascii="Arial" w:hAnsi="Arial" w:cs="Arial"/>
          <w:b/>
          <w:bCs/>
        </w:rPr>
        <w:t xml:space="preserve"> </w:t>
      </w:r>
    </w:p>
    <w:p w14:paraId="52E94F6E" w14:textId="32E11BB1" w:rsidR="00556C42" w:rsidRDefault="00556C42" w:rsidP="005470F3">
      <w:pPr>
        <w:rPr>
          <w:rFonts w:ascii="Arial" w:hAnsi="Arial" w:cs="Arial"/>
        </w:rPr>
      </w:pPr>
    </w:p>
    <w:p w14:paraId="59B6452E" w14:textId="77777777" w:rsidR="00D81171" w:rsidRDefault="00D81171" w:rsidP="00D81171">
      <w:pPr>
        <w:rPr>
          <w:rFonts w:ascii="Arial" w:hAnsi="Arial" w:cs="Arial"/>
        </w:rPr>
      </w:pPr>
      <w:r w:rsidRPr="00D81171">
        <w:rPr>
          <w:rFonts w:ascii="Arial" w:hAnsi="Arial" w:cs="Arial"/>
        </w:rPr>
        <w:t xml:space="preserve">Les candidats ont la possibilité de soumettre des offres pour tous les lots. </w:t>
      </w:r>
    </w:p>
    <w:p w14:paraId="2A9F753C" w14:textId="77777777" w:rsidR="00D81171" w:rsidRPr="00D81171" w:rsidRDefault="00D81171" w:rsidP="00D81171">
      <w:pPr>
        <w:rPr>
          <w:rFonts w:ascii="Arial" w:hAnsi="Arial" w:cs="Arial"/>
        </w:rPr>
      </w:pPr>
    </w:p>
    <w:p w14:paraId="4088DD7D" w14:textId="77777777" w:rsidR="00D81171" w:rsidRDefault="00D81171" w:rsidP="00D81171">
      <w:pPr>
        <w:rPr>
          <w:rFonts w:ascii="Arial" w:hAnsi="Arial" w:cs="Arial"/>
        </w:rPr>
      </w:pPr>
      <w:r w:rsidRPr="00D81171">
        <w:rPr>
          <w:rFonts w:ascii="Arial" w:hAnsi="Arial" w:cs="Arial"/>
        </w:rPr>
        <w:t xml:space="preserve">Le nombre maximal de lot pouvant être attribué à un même candidat est fixé à un (1). Un candidat ne peut donc se voir attribuer plus d’un lot. </w:t>
      </w:r>
    </w:p>
    <w:p w14:paraId="2BC5F48F" w14:textId="77777777" w:rsidR="00D81171" w:rsidRPr="00D81171" w:rsidRDefault="00D81171" w:rsidP="00D81171">
      <w:pPr>
        <w:rPr>
          <w:rFonts w:ascii="Arial" w:hAnsi="Arial" w:cs="Arial"/>
        </w:rPr>
      </w:pPr>
    </w:p>
    <w:p w14:paraId="5DA5CDD7" w14:textId="77777777" w:rsidR="00D81171" w:rsidRDefault="00D81171" w:rsidP="00D81171">
      <w:pPr>
        <w:rPr>
          <w:rFonts w:ascii="Arial" w:hAnsi="Arial" w:cs="Arial"/>
          <w:b/>
          <w:bCs/>
        </w:rPr>
      </w:pPr>
      <w:r w:rsidRPr="00D81171">
        <w:rPr>
          <w:rFonts w:ascii="Arial" w:hAnsi="Arial" w:cs="Arial"/>
          <w:b/>
          <w:bCs/>
        </w:rPr>
        <w:t xml:space="preserve">Ainsi les opérateurs économiques soumissionnant à plus d’un lot doivent remettre au sein de leur offre l’ordre de préférence des lots pour l’attribution. </w:t>
      </w:r>
    </w:p>
    <w:p w14:paraId="1D09F270" w14:textId="77777777" w:rsidR="00D81171" w:rsidRPr="00D81171" w:rsidRDefault="00D81171" w:rsidP="00D81171">
      <w:pPr>
        <w:rPr>
          <w:rFonts w:ascii="Arial" w:hAnsi="Arial" w:cs="Arial"/>
        </w:rPr>
      </w:pPr>
    </w:p>
    <w:p w14:paraId="58400F06" w14:textId="3CD68B3F" w:rsidR="001118A9" w:rsidRDefault="00D81171" w:rsidP="00D81171">
      <w:pPr>
        <w:rPr>
          <w:rFonts w:ascii="Arial" w:hAnsi="Arial" w:cs="Arial"/>
        </w:rPr>
      </w:pPr>
      <w:r w:rsidRPr="00D81171">
        <w:rPr>
          <w:rFonts w:ascii="Arial" w:hAnsi="Arial" w:cs="Arial"/>
        </w:rPr>
        <w:t>L’ordre de préférence d’attribution d’un candidat est utilisé dans l’hypothèse où ce candidat est classé premier à l’issue de l’analyse des offres à plus de 1 lot.</w:t>
      </w:r>
    </w:p>
    <w:p w14:paraId="41DC621D" w14:textId="77777777" w:rsidR="001118A9" w:rsidRPr="005470F3" w:rsidRDefault="001118A9" w:rsidP="005470F3">
      <w:pPr>
        <w:rPr>
          <w:rFonts w:ascii="Arial" w:hAnsi="Arial" w:cs="Arial"/>
        </w:rPr>
      </w:pPr>
    </w:p>
    <w:sectPr w:rsidR="001118A9" w:rsidRPr="00547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5339"/>
    <w:multiLevelType w:val="hybridMultilevel"/>
    <w:tmpl w:val="F7B68A32"/>
    <w:lvl w:ilvl="0" w:tplc="C24421D8">
      <w:start w:val="1"/>
      <w:numFmt w:val="bullet"/>
      <w:pStyle w:val="Titre4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14F17"/>
    <w:multiLevelType w:val="hybridMultilevel"/>
    <w:tmpl w:val="EE8043F0"/>
    <w:lvl w:ilvl="0" w:tplc="2C4E2700">
      <w:start w:val="1"/>
      <w:numFmt w:val="lowerLetter"/>
      <w:pStyle w:val="Titre3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57DFE"/>
    <w:multiLevelType w:val="hybridMultilevel"/>
    <w:tmpl w:val="7CA67C7E"/>
    <w:lvl w:ilvl="0" w:tplc="A0A68F2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E4E23"/>
    <w:multiLevelType w:val="hybridMultilevel"/>
    <w:tmpl w:val="8EF85DA2"/>
    <w:lvl w:ilvl="0" w:tplc="9C5CEF4E">
      <w:start w:val="1"/>
      <w:numFmt w:val="bullet"/>
      <w:pStyle w:val="Titre5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433184F"/>
    <w:multiLevelType w:val="hybridMultilevel"/>
    <w:tmpl w:val="DBFA9822"/>
    <w:lvl w:ilvl="0" w:tplc="6D2468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833747">
    <w:abstractNumId w:val="2"/>
  </w:num>
  <w:num w:numId="2" w16cid:durableId="227231398">
    <w:abstractNumId w:val="1"/>
  </w:num>
  <w:num w:numId="3" w16cid:durableId="783578274">
    <w:abstractNumId w:val="0"/>
  </w:num>
  <w:num w:numId="4" w16cid:durableId="6323830">
    <w:abstractNumId w:val="3"/>
  </w:num>
  <w:num w:numId="5" w16cid:durableId="104159407">
    <w:abstractNumId w:val="2"/>
  </w:num>
  <w:num w:numId="6" w16cid:durableId="1275282802">
    <w:abstractNumId w:val="1"/>
  </w:num>
  <w:num w:numId="7" w16cid:durableId="253634189">
    <w:abstractNumId w:val="0"/>
  </w:num>
  <w:num w:numId="8" w16cid:durableId="1787382673">
    <w:abstractNumId w:val="3"/>
  </w:num>
  <w:num w:numId="9" w16cid:durableId="1887989711">
    <w:abstractNumId w:val="2"/>
  </w:num>
  <w:num w:numId="10" w16cid:durableId="735398427">
    <w:abstractNumId w:val="1"/>
  </w:num>
  <w:num w:numId="11" w16cid:durableId="741222403">
    <w:abstractNumId w:val="0"/>
  </w:num>
  <w:num w:numId="12" w16cid:durableId="1206262023">
    <w:abstractNumId w:val="3"/>
  </w:num>
  <w:num w:numId="13" w16cid:durableId="1631931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51C"/>
    <w:rsid w:val="00012DFE"/>
    <w:rsid w:val="0004135B"/>
    <w:rsid w:val="00046885"/>
    <w:rsid w:val="00076E47"/>
    <w:rsid w:val="001118A9"/>
    <w:rsid w:val="00122B94"/>
    <w:rsid w:val="001362DC"/>
    <w:rsid w:val="0016303F"/>
    <w:rsid w:val="00193B69"/>
    <w:rsid w:val="001D65BF"/>
    <w:rsid w:val="002128FA"/>
    <w:rsid w:val="002A321B"/>
    <w:rsid w:val="002C04E9"/>
    <w:rsid w:val="002C6DA5"/>
    <w:rsid w:val="00443A21"/>
    <w:rsid w:val="004B7051"/>
    <w:rsid w:val="004D4AAA"/>
    <w:rsid w:val="00504672"/>
    <w:rsid w:val="0051451C"/>
    <w:rsid w:val="0051523F"/>
    <w:rsid w:val="005470F3"/>
    <w:rsid w:val="00547100"/>
    <w:rsid w:val="00551558"/>
    <w:rsid w:val="00556C42"/>
    <w:rsid w:val="00585859"/>
    <w:rsid w:val="00603069"/>
    <w:rsid w:val="00644E0C"/>
    <w:rsid w:val="00672B60"/>
    <w:rsid w:val="00691171"/>
    <w:rsid w:val="006A4C90"/>
    <w:rsid w:val="00771858"/>
    <w:rsid w:val="007A2645"/>
    <w:rsid w:val="00841B90"/>
    <w:rsid w:val="009E1DD0"/>
    <w:rsid w:val="00A12410"/>
    <w:rsid w:val="00A17892"/>
    <w:rsid w:val="00A22746"/>
    <w:rsid w:val="00B07CA3"/>
    <w:rsid w:val="00B16A71"/>
    <w:rsid w:val="00C02639"/>
    <w:rsid w:val="00C2252F"/>
    <w:rsid w:val="00C32971"/>
    <w:rsid w:val="00D81171"/>
    <w:rsid w:val="00DF4AC8"/>
    <w:rsid w:val="00DF4FC8"/>
    <w:rsid w:val="00E01106"/>
    <w:rsid w:val="00FB26FB"/>
    <w:rsid w:val="00FB34BB"/>
    <w:rsid w:val="00F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4BA121"/>
  <w15:chartTrackingRefBased/>
  <w15:docId w15:val="{4017DD10-CF8D-4BA1-8EBC-37B378AF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069"/>
  </w:style>
  <w:style w:type="paragraph" w:styleId="Titre1">
    <w:name w:val="heading 1"/>
    <w:basedOn w:val="Normal"/>
    <w:next w:val="Normal"/>
    <w:link w:val="Titre1Car"/>
    <w:uiPriority w:val="9"/>
    <w:qFormat/>
    <w:rsid w:val="00603069"/>
    <w:pPr>
      <w:keepNext/>
      <w:keepLines/>
      <w:pBdr>
        <w:bottom w:val="single" w:sz="4" w:space="2" w:color="3155A4"/>
      </w:pBdr>
      <w:spacing w:before="360" w:after="120"/>
      <w:outlineLvl w:val="0"/>
    </w:pPr>
    <w:rPr>
      <w:rFonts w:asciiTheme="majorHAnsi" w:eastAsiaTheme="majorEastAsia" w:hAnsiTheme="majorHAnsi" w:cstheme="majorBidi"/>
      <w:b/>
      <w:color w:val="3155A4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603069"/>
    <w:pPr>
      <w:keepNext/>
      <w:keepLines/>
      <w:numPr>
        <w:numId w:val="9"/>
      </w:numPr>
      <w:spacing w:before="120" w:after="120"/>
      <w:outlineLvl w:val="1"/>
    </w:pPr>
    <w:rPr>
      <w:rFonts w:asciiTheme="majorHAnsi" w:eastAsiaTheme="majorEastAsia" w:hAnsiTheme="majorHAnsi" w:cstheme="majorBidi"/>
      <w:b/>
      <w:caps/>
      <w:color w:val="65B144" w:themeColor="accent3"/>
      <w:sz w:val="24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03069"/>
    <w:pPr>
      <w:keepNext/>
      <w:keepLines/>
      <w:numPr>
        <w:numId w:val="10"/>
      </w:numPr>
      <w:spacing w:before="80" w:after="80"/>
      <w:outlineLvl w:val="2"/>
    </w:pPr>
    <w:rPr>
      <w:rFonts w:asciiTheme="majorHAnsi" w:eastAsiaTheme="majorEastAsia" w:hAnsiTheme="majorHAnsi" w:cstheme="majorBidi"/>
      <w:b/>
      <w:color w:val="B9D635" w:themeColor="accent2"/>
      <w:sz w:val="28"/>
      <w:szCs w:val="3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03069"/>
    <w:pPr>
      <w:keepNext/>
      <w:keepLines/>
      <w:numPr>
        <w:numId w:val="11"/>
      </w:numPr>
      <w:spacing w:before="80" w:after="80"/>
      <w:outlineLvl w:val="3"/>
    </w:pPr>
    <w:rPr>
      <w:rFonts w:asciiTheme="majorHAnsi" w:eastAsiaTheme="majorEastAsia" w:hAnsiTheme="majorHAnsi" w:cstheme="majorBidi"/>
      <w:b/>
      <w:iCs/>
      <w:color w:val="8FBCFF" w:themeColor="background2"/>
      <w:sz w:val="24"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03069"/>
    <w:pPr>
      <w:keepNext/>
      <w:keepLines/>
      <w:numPr>
        <w:numId w:val="12"/>
      </w:numPr>
      <w:spacing w:before="80" w:after="80"/>
      <w:outlineLvl w:val="4"/>
    </w:pPr>
    <w:rPr>
      <w:rFonts w:asciiTheme="majorHAnsi" w:eastAsiaTheme="majorEastAsia" w:hAnsiTheme="majorHAnsi" w:cstheme="majorBidi"/>
      <w:b/>
      <w:color w:val="3155A4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rsid w:val="002A321B"/>
    <w:pPr>
      <w:keepNext/>
      <w:keepLines/>
      <w:spacing w:before="40"/>
      <w:outlineLvl w:val="5"/>
    </w:pPr>
    <w:rPr>
      <w:rFonts w:eastAsiaTheme="majorEastAsia" w:cstheme="majorBidi"/>
      <w:i/>
      <w:iCs/>
      <w:color w:val="698AD2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rsid w:val="002A321B"/>
    <w:pPr>
      <w:keepNext/>
      <w:keepLines/>
      <w:spacing w:before="40"/>
      <w:outlineLvl w:val="6"/>
    </w:pPr>
    <w:rPr>
      <w:rFonts w:eastAsiaTheme="majorEastAsia" w:cstheme="majorBidi"/>
      <w:color w:val="698AD2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03069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5F6F16" w:themeColor="accent2" w:themeShade="80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03069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5F6F16" w:themeColor="accent2" w:themeShade="80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03069"/>
    <w:rPr>
      <w:rFonts w:asciiTheme="majorHAnsi" w:eastAsiaTheme="majorEastAsia" w:hAnsiTheme="majorHAnsi" w:cstheme="majorBidi"/>
      <w:b/>
      <w:color w:val="3155A4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603069"/>
    <w:rPr>
      <w:rFonts w:asciiTheme="majorHAnsi" w:eastAsiaTheme="majorEastAsia" w:hAnsiTheme="majorHAnsi" w:cstheme="majorBidi"/>
      <w:b/>
      <w:caps/>
      <w:color w:val="65B144" w:themeColor="accent3"/>
      <w:sz w:val="24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603069"/>
    <w:rPr>
      <w:rFonts w:asciiTheme="majorHAnsi" w:eastAsiaTheme="majorEastAsia" w:hAnsiTheme="majorHAnsi" w:cstheme="majorBidi"/>
      <w:b/>
      <w:color w:val="B9D635" w:themeColor="accent2"/>
      <w:sz w:val="28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603069"/>
    <w:rPr>
      <w:rFonts w:asciiTheme="majorHAnsi" w:eastAsiaTheme="majorEastAsia" w:hAnsiTheme="majorHAnsi" w:cstheme="majorBidi"/>
      <w:b/>
      <w:iCs/>
      <w:color w:val="8FBCFF" w:themeColor="background2"/>
      <w:sz w:val="24"/>
      <w:szCs w:val="28"/>
    </w:rPr>
  </w:style>
  <w:style w:type="character" w:customStyle="1" w:styleId="Titre5Car">
    <w:name w:val="Titre 5 Car"/>
    <w:basedOn w:val="Policepardfaut"/>
    <w:link w:val="Titre5"/>
    <w:uiPriority w:val="9"/>
    <w:rsid w:val="00603069"/>
    <w:rPr>
      <w:rFonts w:asciiTheme="majorHAnsi" w:eastAsiaTheme="majorEastAsia" w:hAnsiTheme="majorHAnsi" w:cstheme="majorBidi"/>
      <w:b/>
      <w:color w:val="3155A4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2A321B"/>
    <w:rPr>
      <w:rFonts w:eastAsiaTheme="majorEastAsia" w:cstheme="majorBidi"/>
      <w:i/>
      <w:iCs/>
      <w:color w:val="698AD2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A321B"/>
    <w:rPr>
      <w:rFonts w:eastAsiaTheme="majorEastAsia" w:cstheme="majorBidi"/>
      <w:color w:val="698AD2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03069"/>
    <w:rPr>
      <w:rFonts w:asciiTheme="majorHAnsi" w:eastAsiaTheme="majorEastAsia" w:hAnsiTheme="majorHAnsi" w:cstheme="majorBidi"/>
      <w:color w:val="5F6F16" w:themeColor="accent2" w:themeShade="80"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semiHidden/>
    <w:rsid w:val="00603069"/>
    <w:rPr>
      <w:rFonts w:asciiTheme="majorHAnsi" w:eastAsiaTheme="majorEastAsia" w:hAnsiTheme="majorHAnsi" w:cstheme="majorBidi"/>
      <w:i/>
      <w:iCs/>
      <w:color w:val="5F6F16" w:themeColor="accent2" w:themeShade="80"/>
      <w:sz w:val="22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603069"/>
    <w:pPr>
      <w:contextualSpacing/>
    </w:pPr>
    <w:rPr>
      <w:rFonts w:asciiTheme="majorHAnsi" w:eastAsiaTheme="majorEastAsia" w:hAnsiTheme="majorHAnsi" w:cstheme="majorBidi"/>
      <w:color w:val="3155A4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603069"/>
    <w:rPr>
      <w:rFonts w:asciiTheme="majorHAnsi" w:eastAsiaTheme="majorEastAsia" w:hAnsiTheme="majorHAnsi" w:cstheme="majorBidi"/>
      <w:color w:val="3155A4"/>
      <w:sz w:val="96"/>
      <w:szCs w:val="96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603069"/>
    <w:pPr>
      <w:numPr>
        <w:ilvl w:val="1"/>
      </w:numPr>
      <w:spacing w:after="240"/>
    </w:pPr>
    <w:rPr>
      <w:b/>
      <w:caps/>
      <w:color w:val="65B144" w:themeColor="accent3"/>
      <w:spacing w:val="2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03069"/>
    <w:rPr>
      <w:b/>
      <w:caps/>
      <w:color w:val="65B144" w:themeColor="accent3"/>
      <w:spacing w:val="20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03069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3155A4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603069"/>
    <w:rPr>
      <w:rFonts w:asciiTheme="majorHAnsi" w:eastAsiaTheme="majorEastAsia" w:hAnsiTheme="majorHAnsi" w:cstheme="majorBidi"/>
      <w:color w:val="3155A4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0306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03069"/>
    <w:rPr>
      <w:b/>
      <w:bCs/>
      <w:i/>
      <w:iCs/>
      <w:caps w:val="0"/>
      <w:smallCaps w:val="0"/>
      <w:strike w:val="0"/>
      <w:dstrike w:val="0"/>
      <w:color w:val="B9D635" w:themeColor="accent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03069"/>
    <w:pPr>
      <w:pBdr>
        <w:top w:val="single" w:sz="24" w:space="4" w:color="B9D635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03069"/>
    <w:rPr>
      <w:rFonts w:asciiTheme="majorHAnsi" w:eastAsiaTheme="majorEastAsia" w:hAnsiTheme="majorHAnsi" w:cstheme="majorBidi"/>
      <w:sz w:val="24"/>
      <w:szCs w:val="24"/>
    </w:rPr>
  </w:style>
  <w:style w:type="character" w:styleId="Rfrenceintense">
    <w:name w:val="Intense Reference"/>
    <w:basedOn w:val="Policepardfaut"/>
    <w:uiPriority w:val="32"/>
    <w:qFormat/>
    <w:rsid w:val="00603069"/>
    <w:rPr>
      <w:b/>
      <w:bCs/>
      <w:caps w:val="0"/>
      <w:smallCaps/>
      <w:color w:val="auto"/>
      <w:spacing w:val="0"/>
      <w:u w:val="single"/>
    </w:rPr>
  </w:style>
  <w:style w:type="paragraph" w:styleId="Lgende">
    <w:name w:val="caption"/>
    <w:basedOn w:val="Normal"/>
    <w:next w:val="Normal"/>
    <w:uiPriority w:val="35"/>
    <w:unhideWhenUsed/>
    <w:qFormat/>
    <w:rsid w:val="00603069"/>
    <w:rPr>
      <w:b/>
      <w:bCs/>
      <w:color w:val="65B144" w:themeColor="accent3"/>
      <w:sz w:val="16"/>
      <w:szCs w:val="16"/>
    </w:rPr>
  </w:style>
  <w:style w:type="character" w:styleId="lev">
    <w:name w:val="Strong"/>
    <w:basedOn w:val="Policepardfaut"/>
    <w:uiPriority w:val="22"/>
    <w:qFormat/>
    <w:rsid w:val="00603069"/>
    <w:rPr>
      <w:rFonts w:ascii="Arial" w:hAnsi="Arial"/>
      <w:b/>
      <w:bCs/>
    </w:rPr>
  </w:style>
  <w:style w:type="character" w:styleId="Accentuation">
    <w:name w:val="Emphasis"/>
    <w:basedOn w:val="Policepardfaut"/>
    <w:uiPriority w:val="20"/>
    <w:qFormat/>
    <w:rsid w:val="00603069"/>
    <w:rPr>
      <w:i/>
      <w:iCs/>
      <w:color w:val="3155A4"/>
    </w:rPr>
  </w:style>
  <w:style w:type="paragraph" w:styleId="Sansinterligne">
    <w:name w:val="No Spacing"/>
    <w:uiPriority w:val="1"/>
    <w:qFormat/>
    <w:rsid w:val="00603069"/>
  </w:style>
  <w:style w:type="character" w:styleId="Accentuationlgre">
    <w:name w:val="Subtle Emphasis"/>
    <w:basedOn w:val="Policepardfaut"/>
    <w:uiPriority w:val="19"/>
    <w:qFormat/>
    <w:rsid w:val="00603069"/>
    <w:rPr>
      <w:i/>
      <w:iCs/>
      <w:color w:val="3155A4"/>
    </w:rPr>
  </w:style>
  <w:style w:type="character" w:styleId="Rfrencelgre">
    <w:name w:val="Subtle Reference"/>
    <w:basedOn w:val="Policepardfaut"/>
    <w:uiPriority w:val="31"/>
    <w:qFormat/>
    <w:rsid w:val="00603069"/>
    <w:rPr>
      <w:caps w:val="0"/>
      <w:smallCaps/>
      <w:color w:val="3155A4"/>
      <w:spacing w:val="0"/>
      <w:u w:val="single" w:color="8CA4DC" w:themeColor="text1" w:themeTint="8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03069"/>
    <w:pPr>
      <w:outlineLvl w:val="9"/>
    </w:pPr>
  </w:style>
  <w:style w:type="table" w:styleId="Grilledutableau">
    <w:name w:val="Table Grid"/>
    <w:basedOn w:val="TableauNormal"/>
    <w:uiPriority w:val="39"/>
    <w:rsid w:val="00514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2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0468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468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4688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68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68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VNF 2025">
      <a:dk1>
        <a:srgbClr val="3155A4"/>
      </a:dk1>
      <a:lt1>
        <a:sysClr val="window" lastClr="FFFFFF"/>
      </a:lt1>
      <a:dk2>
        <a:srgbClr val="3155A4"/>
      </a:dk2>
      <a:lt2>
        <a:srgbClr val="8FBCFF"/>
      </a:lt2>
      <a:accent1>
        <a:srgbClr val="3155A4"/>
      </a:accent1>
      <a:accent2>
        <a:srgbClr val="B9D635"/>
      </a:accent2>
      <a:accent3>
        <a:srgbClr val="65B144"/>
      </a:accent3>
      <a:accent4>
        <a:srgbClr val="0097D7"/>
      </a:accent4>
      <a:accent5>
        <a:srgbClr val="3A7999"/>
      </a:accent5>
      <a:accent6>
        <a:srgbClr val="06AC92"/>
      </a:accent6>
      <a:hlink>
        <a:srgbClr val="FF7300"/>
      </a:hlink>
      <a:folHlink>
        <a:srgbClr val="FF73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DIALLO Mamadou Oury</dc:creator>
  <cp:keywords/>
  <dc:description/>
  <cp:lastModifiedBy>DIALLO Mamadou Oury</cp:lastModifiedBy>
  <cp:revision>12</cp:revision>
  <cp:lastPrinted>2025-10-09T13:55:00Z</cp:lastPrinted>
  <dcterms:created xsi:type="dcterms:W3CDTF">2025-10-09T13:18:00Z</dcterms:created>
  <dcterms:modified xsi:type="dcterms:W3CDTF">2026-03-06T15:14:00Z</dcterms:modified>
</cp:coreProperties>
</file>